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28625" cy="581025"/>
            <wp:effectExtent b="0" l="0" r="0" t="0"/>
            <wp:docPr descr="gerb" id="1" name="image1.png"/>
            <a:graphic>
              <a:graphicData uri="http://schemas.openxmlformats.org/drawingml/2006/picture">
                <pic:pic>
                  <pic:nvPicPr>
                    <pic:cNvPr descr="gerb" id="0" name="image1.png"/>
                    <pic:cNvPicPr preferRelativeResize="0"/>
                  </pic:nvPicPr>
                  <pic:blipFill>
                    <a:blip r:embed="rId6"/>
                    <a:srcRect b="0" l="0" r="0" t="0"/>
                    <a:stretch>
                      <a:fillRect/>
                    </a:stretch>
                  </pic:blipFill>
                  <pic:spPr>
                    <a:xfrm>
                      <a:off x="0" y="0"/>
                      <a:ext cx="4286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УКРАЇНА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НОВГОРОД – СІВЕРСЬКА МІСЬКА РАДА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ЧЕРНІГІВСЬКОЇ ОБЛАСТІ</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РІШЕННЯ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травня 2022 року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 Новгород-Сіверський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 83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Програми створення, накопичення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використання матеріальних резервів для запобігання і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ліквідації надзвичайних ситуацій техногенного і природного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характеру та їх наслідків на території Новгород-Сіверської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міської територіальної громади на 2022-2025 роки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зі збільшенням кількості звернень мешканців населених пунктів Новгород-Сіверської міської територіальної громади, які потребують особливої підтримки у вигляді матеріальної допомоги за рахунок бюджету міської територіальної громади, з урахуванням дії в Україні воєнного стану, відповідно до постанови Кабінету Міністрів України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 11 березня 2022 року № 252 "Деякі питання формування та виконання місцевих бюджетів у період воєнного стану", ст. 91 Бюджетного кодексу України, керуючись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статтями 33, 34, 38, 52, 59 Закону України "Про місцеве самоврядування в Україні", виконавчий комітет міської ради ВИРІШИВ:</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 Внести зміни до цільової Програми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на території Новгород-Сіверської міської територіальної громади на 2022-2025 роки, затвердженої рішенням 14-ої сесії Новгород-Сіверської міської ради                VIIІ скликання від 03 грудня 2021 року № 475, виклавши її в новій редакції, що додається.</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Контроль за виконанням рішення покласти на заступника міського голови Верченка П.В.</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w:t>
        <w:tab/>
        <w:tab/>
        <w:tab/>
        <w:tab/>
        <w:tab/>
        <w:tab/>
        <w:tab/>
        <w:tab/>
        <w:t xml:space="preserve">Л. Ткаченко</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ЗАТВЕРДЖЕНО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чотирнадцятої сесії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Новгород-Сіверської міської ради</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VIIІ скликання</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 грудня 2021 року № 475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редакції рішення виконавчого комітету Новгород-Сіверської міської ради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27 травня 2022 року № 83)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 Новгород-Сіверський</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2022 рік</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ПАСПОРТ ПРОГРАМИ</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963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544"/>
        <w:gridCol w:w="5528"/>
        <w:tblGridChange w:id="0">
          <w:tblGrid>
            <w:gridCol w:w="567"/>
            <w:gridCol w:w="3544"/>
            <w:gridCol w:w="5528"/>
          </w:tblGrid>
        </w:tblGridChange>
      </w:tblGrid>
      <w:tr>
        <w:trPr>
          <w:cantSplit w:val="0"/>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Назва Програми</w:t>
            </w: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w:t>
            </w:r>
          </w:p>
        </w:tc>
      </w:tr>
      <w:tr>
        <w:trPr>
          <w:cantSplit w:val="0"/>
          <w:tblHeader w:val="0"/>
        </w:trPr>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Ініціатор розроблення Програми</w:t>
            </w: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Новгород-Сіверська міська рада</w:t>
            </w:r>
          </w:p>
        </w:tc>
      </w:tr>
      <w:tr>
        <w:trPr>
          <w:cantSplit w:val="0"/>
          <w:trHeight w:val="2686" w:hRule="atLeast"/>
          <w:tblHeader w:val="0"/>
        </w:trPr>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номер і назва розпорядчого документа органу виконавчої влади про розроблення Програми</w:t>
            </w: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місцеве самоврядування», Бюджетний кодекс України , Кодекс цивільного захисту України, постанова Кабінету Міністрів України від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30.09.2015 № 775 «Про затвердження Порядку створення та використання матеріальних резервів для запобігання і ліквідації наслідків надзвичайних ситуацій»,</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постанова Кабінету Міністрів України від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p>
        </w:tc>
      </w:tr>
      <w:tr>
        <w:trPr>
          <w:cantSplit w:val="0"/>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Головний розробник Програми</w:t>
            </w: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Новгород-Сіверська міська рада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(сектор з питань цивільного захисту, оборонної та мобілізаційної роботи Новгород-Сіверської міської ради)</w:t>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Співрозробники Програми</w:t>
            </w: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Відповідальний  виконавець Програми</w:t>
            </w: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Новгород-Сіверська міська рада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Співвиконавці Програми</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Термін реалізації Програми</w:t>
            </w: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2022-2025 роки</w:t>
            </w:r>
          </w:p>
        </w:tc>
      </w:tr>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Мета Програми</w:t>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w:t>
            </w:r>
          </w:p>
        </w:tc>
      </w:tr>
      <w:tr>
        <w:trPr>
          <w:cantSplit w:val="0"/>
          <w:trHeight w:val="2576" w:hRule="atLeast"/>
          <w:tblHeader w:val="0"/>
        </w:trPr>
        <w:tc>
          <w:tcPr>
            <w:shd w:fill="auto" w:val="cle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Загальний обсяг фінансових ресурсів, необхідних для реалізації Програми всього: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тому числі:</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коштів бюджету громади</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коштів державного бюджету</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інші джерела</w:t>
            </w:r>
            <w:r w:rsidDel="00000000" w:rsidR="00000000" w:rsidRPr="00000000">
              <w:rPr>
                <w:rtl w:val="0"/>
              </w:rPr>
            </w:r>
          </w:p>
        </w:tc>
        <w:tc>
          <w:tcPr>
            <w:shd w:fill="ffffff" w:val="cle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870,0 тис. грн.</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870,0 тис. грн.</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43" w:hRule="atLeast"/>
          <w:tblHeader w:val="0"/>
        </w:trPr>
        <w:tc>
          <w:tcPr>
            <w:shd w:fill="auto" w:val="cle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w:t>
            </w:r>
            <w:r w:rsidDel="00000000" w:rsidR="00000000" w:rsidRPr="00000000">
              <w:rPr>
                <w:rtl w:val="0"/>
              </w:rPr>
            </w:r>
          </w:p>
        </w:tc>
        <w:tc>
          <w:tcPr>
            <w:shd w:fill="auto" w:val="cle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Очікувані результати виконання</w:t>
            </w:r>
            <w:r w:rsidDel="00000000" w:rsidR="00000000" w:rsidRPr="00000000">
              <w:rPr>
                <w:rtl w:val="0"/>
              </w:rPr>
            </w:r>
          </w:p>
        </w:tc>
        <w:tc>
          <w:tcPr>
            <w:shd w:fill="ffffff" w:val="cle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w:t>
            </w:r>
          </w:p>
        </w:tc>
      </w:tr>
      <w:tr>
        <w:trPr>
          <w:cantSplit w:val="0"/>
          <w:trHeight w:val="1689" w:hRule="atLeast"/>
          <w:tblHeader w:val="0"/>
        </w:trPr>
        <w:tc>
          <w:tcPr>
            <w:shd w:fill="auto" w:val="cle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tl w:val="0"/>
              </w:rPr>
            </w:r>
          </w:p>
        </w:tc>
        <w:tc>
          <w:tcPr>
            <w:shd w:fill="auto" w:val="cle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Ключові показники ефективності</w:t>
            </w:r>
            <w:r w:rsidDel="00000000" w:rsidR="00000000" w:rsidRPr="00000000">
              <w:rPr>
                <w:rtl w:val="0"/>
              </w:rPr>
            </w:r>
          </w:p>
        </w:tc>
        <w:tc>
          <w:tcPr>
            <w:shd w:fill="ffffff" w:val="cle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ефективності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Визначення проблеми, на розв’язання якої спрямована Програма</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 (далі – Програма) спрямована на захист населення, об'єктів економіки від негативних наслідків надзвичайних ситуацій та попередження їх виникнення. Даний напрямок залишається одним з найважливіших завдань органів місцевого самоврядування.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території Новгород-Сіверської міської територіальної громади</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розміщено 22 потенційно небезпечних об’єкта для населення. Місто Новгород-Сіверський є зоною можливого ризику виникнення аварій техногенного походження (м’ясокомбінат, сирзавод). Враховуючи, що рівень зносу обладнання більшості промислових підприємств наближається до критичного, кількість випадків виникнення аварій може збільшуватися. Матеріально-технічна база підприємств міста Новгорода-Сіверського застаріла.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У місті існує проблема підтоплення паводковими водами і особливо при виході на заплаву річки Десна, які підтоплюють вулиці Герцена, П. Куліша, 8 Березня, Північна та Набережна. Також внаслідок опадів на території міста Новгорода-Сіверського може різко піднятися рівень води в річці Десна, що призведе до підтоплення водами річки достатньо велику кількість  домоволодінь у місті Новгороді-Сіверському та населених пунктах міської територіальної громади та завдасть значних матеріальних збитків їх власникам.</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Внаслідок паводку може бути  перерване сполучення з селами Бирине, Прокопівка та Підгірне, населення яких може потребувати додаткової допомоги.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Згідно з геоморфологічними та геологічними умовами міста на його території мають розвиток процеси, які носять характер зсувно-обвальних явищ. Вони загрожують будівлям та комунікаціям. Різноманітні за механізмами розвитку, характером й інтенсивністю прояву на земній поверхні, екзогенні геологічні процеси часом створюють обстановку, несумісну з мінімальними вимогами до комфортності довкілля та життєдіяльності людини, загрожують  будівлям та комунікаціям.</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Найбільш ймовірною є активізація зсувів в період бурхливого танення снігів, надмірного випадання дощів, гідрогеологічних та гідрологічних умов, а також внаслідок негативного впливу техногенних чинників на геологічне середовище.</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У населених пунктах Новгород-Сіверської міської територіальної громади існує велика зношеність обладнання та зовнішніх мереж на об’єктах житлово-комунального господарства. Окремі мережі водопостачання та водовідведення повністю відпрацювали свій ресурс і підлягають терміновій заміні. Аналогічна ситуація спостерігається на об’єктах теплопостачання.</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Аналіз надзвичайних ситуацій свідчить, що їхня загальна кількість за останні роки не зменшується, а ліквідація їх наслідків потребує матеріальних ресурсів. Наявність місцевого матеріального резерву дозволяє аварійно-відновлювальним силам своєчасно виконати заходи, спрямовані на запобігання та ліквідацію надзвичайних ситуацій, а також для надання термінової допомоги населенню, яке постраждало.</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світі останніх подій, які мали місце після повномасштабного вторгнення військ Російської Федерації 24 лютого 2022 року на територію суверенної держави Україна,  також виникло питання  надання допомоги постраждалим особам, майну яких завдано шкоди внаслідок бомбардувань, артилерійських обстрілів та інших воєнних дій.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 зазначеного вище можна зробити висновок, що створення місцевого матеріального резерву для Новгород-Сіверської міської територіальної громади необхідно для запобігання виникнення та своєчасної ліквідації наслідків надзвичайних ситуацій, в тому числі завданих бойовими діями, відновлення належної життєдіяльності постраждалого  населення. Для забезпечення даного напрямку роботи необхідно створення достатніх резервів будівельних матеріалів, аварійно-рятувального обладнання, паливно-мастильних матеріалів, продуктів та іншого майна, визначеного в Номенклатурі та обсягах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(Додаток1).</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Визначення мети Програми</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Основною метою Програми є створення та використання у разі необхідності резерву матеріально-технічних засобів, які повинні спрямовуватись на забезпечення заходів із запобігання та ліквідації надзвичайних ситуацій та їх наслідків, у тому числі завданих бойовими діями,</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досягається шляхом виконання наступних завдань:</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та утримання резервів згідно з Номенклатурою та обсягами накопичення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(Додаток 1), з метою їх залучення для здійснення запобіжних заходів у разі загрози або можливості  виникнення надзвичайних ситуацій;</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матеріально-технічної підтримки аварійно-рятувальних дій при ліквідації надзвичайних ситуацій різного характеру;</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матеріального забезпечення проведення першочергових та невідкладних відновлювальних робіт;</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громадянам, постраждалим від наслідків надзвичайних ситуацій, матеріальної допомоги (з наявних матеріальних цінностей згідно з Додатком 1) для забезпечення та відновлення їх життєдіяльності.</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результаті створення місцевого матеріального резерву на випадок ліквідації надзвичайних ситуацій та поповнення матеріального резерву Новгород-Сіверської міської територіальної громади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буде</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забезпечено можливість реального ефективного функціонування місцевої ланки єдиної державної системи ЦЗ Чернігівської області для запобігання і реагування на надзвичайні ситуації різного характеру з найменшими фінансовими витратами.</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Визначення цільової групи</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направлена на задоволення потреб всього населення громади. Під дію програми підпадатимуть жінки та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впливає однаково на різні групи жінок та чоловіків, тому від впровадження програми користь отримають всі групи осіб.</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Обґрунтування шляхів і засобів розв’язання проблеми, показники результативності</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Розв'язати проблему створення і ефективного використання місцевого матеріального резерву для запобігання і ліквідації надзвичайних ситуацій та їх наслідків, у тому числі завданих бойовими діями.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створення, утримання та поповнення резервів здійснюється:</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місцевого резерву - за рахунок коштів місцевого бюджету в межах фінансових можливостей;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об’єктового запасу - за рахунок власних коштів підприємств.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утримання та поповнення матеріального резерву здійснюється за рахунок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 та обсяги місцевого матеріального резерву визначаються з урахуванням прогнозованих для Новгород-Сіверської міської територіальної громади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 (Додаток 1).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Місця зберігання матеріального резерву визначаються розпорядженням міського голови та на основі укладених договорів.</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 обсягів та норм накопичення матеріальних резервів об’єктового рівня визначається і затверджується наказами керівників підприємств.</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Програми передбачає:</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облік, використання, поповнення та зберігання місцевого матеріального резерву для запобігання, ліквідації надзвичайних ситуацій та їх наслідків, у тому числі завданих бойовими діями, відповідно до номенклатури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заходів, визначених у</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Напрямах діяльності і заходах реалізації Програми (Додаток 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заходів Програми розрахована на 2022-2025 роки.</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Хід Програми щорічно визначається через показники результативності Програми (Додаток 3).</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Очікувані  результати виконання Програми</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Програми дозволить:</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підвищити оперативність та якість реагування на надзвичайні ситуації;</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значно зменшити навантаження на місцевий резервний фонд у разі виникнення надзвичайної ситуації місцевого рівня;</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забезпечити можливість реагування на надзвичайні ситуації в умовах дефіциту (відсутності) коштів у резервному фонді;</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укомплектувати місцевий матеріальний резерв по номенклатурі.</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результаті виконання Програми буде створено місцевий матеріальний резерв Новгород-Сіверської міської територіальної громади для запобігання і ліквідації наслідків надзвичайних ситуацій.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Програми забезпечить реалізацію державної політики у сфері цивільного захисту на території Новгород-Сіверської міської територіальної громади, здійснення заходів з безпеки та захисту населення і території, об’єктів національної економіки, інших матеріальних і культурних цінностей та довкілля від негативних наслідків надзвичайних ситуацій у мирний час та в особливий період, поліпшить технічне оснащення, підвищить рівень готовності сил цивільного захисту до оперативного реагування на можливі надзвичайні ситуації.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Перелік напрямів, завдань і заходів Програми визначені згідно з   Додатком 3.</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створення, утримання та поповнення матеріального резерву для запобігання,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визначається згідно з Додатком 4.</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Обсяги та джерела фінансування Програми</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Фінансування Програми здійснюватиметься у межах асигнувань, передбачених у бюджеті Новгород-Сіверської міської територіальної громади, а також інших джерел, не заборонених законодавством. Обсяг фінансування Програми визначається, виходячи з реальних можливостей бюджету Новгород-Сіверської міської територіальної громади.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терміну дії Програми до неї можливе внесення змін з урахуванням змін загальної економічної ситуації і фінансових можливостей бюджету Новгород-Сіверської міської територіальної громади.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Орієнтовний загальний обсяг фінансових ресурсів на виконання потреб Програми з бюджету Новгород-Сіверської міської територіальної громади визначено в напрямах діяльності і заходах реалізації Програми (Додаток 3) і складає 830,0 тис. гривень.</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Ресурсне забезпечення Програми</w:t>
      </w:r>
      <w:r w:rsidDel="00000000" w:rsidR="00000000" w:rsidRPr="00000000">
        <w:rPr>
          <w:rtl w:val="0"/>
        </w:rPr>
      </w:r>
    </w:p>
    <w:tbl>
      <w:tblPr>
        <w:tblStyle w:val="Table2"/>
        <w:tblW w:w="9571.0" w:type="dxa"/>
        <w:jc w:val="left"/>
        <w:tblInd w:w="-10.0" w:type="dxa"/>
        <w:tblLayout w:type="fixed"/>
        <w:tblLook w:val="0000"/>
      </w:tblPr>
      <w:tblGrid>
        <w:gridCol w:w="3129"/>
        <w:gridCol w:w="1276"/>
        <w:gridCol w:w="1275"/>
        <w:gridCol w:w="1134"/>
        <w:gridCol w:w="1115"/>
        <w:gridCol w:w="1642"/>
        <w:tblGridChange w:id="0">
          <w:tblGrid>
            <w:gridCol w:w="3129"/>
            <w:gridCol w:w="1276"/>
            <w:gridCol w:w="1275"/>
            <w:gridCol w:w="1134"/>
            <w:gridCol w:w="1115"/>
            <w:gridCol w:w="1642"/>
          </w:tblGrid>
        </w:tblGridChange>
      </w:tblGrid>
      <w:tr>
        <w:trPr>
          <w:cantSplit w:val="1"/>
          <w:trHeight w:val="302"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Обсяг коштів, що пропонується залучити на виконання Програми</w:t>
            </w: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Етапи виконання програми</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0" w:firstLine="1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Всього витрат на виконання Програми</w:t>
            </w:r>
            <w:r w:rsidDel="00000000" w:rsidR="00000000" w:rsidRPr="00000000">
              <w:rPr>
                <w:rtl w:val="0"/>
              </w:rPr>
            </w:r>
          </w:p>
        </w:tc>
      </w:tr>
      <w:tr>
        <w:trPr>
          <w:cantSplit w:val="1"/>
          <w:trHeight w:val="775"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рік</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2023 рік</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2024 рік</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2025 рік </w:t>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0"/>
          <w:trHeight w:val="562"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Обсяг ресурсів, всього, у тому числі:</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305,0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870,0</w:t>
            </w:r>
          </w:p>
        </w:tc>
      </w:tr>
      <w:tr>
        <w:trPr>
          <w:cantSplit w:val="0"/>
          <w:trHeight w:val="288"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державний бюджет</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57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бюджет громади </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305,0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870,0</w:t>
            </w:r>
          </w:p>
        </w:tc>
      </w:tr>
      <w:tr>
        <w:trPr>
          <w:cantSplit w:val="0"/>
          <w:trHeight w:val="576"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інші джерела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Строки та етапи виконання Програми</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заходів Програми розрахована на 2022-2025 роки.</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Координація та контроль за ходом виконання Програми</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Вирішення організаційних питань щодо створення місцевого резерву в обсягах, що забезпечують проведення невідкладних робіт, пов’язаних з ліквідацією наслідків надзвичайних ситуацій різного характеру в Новгород-Сіверській міській територіальній громаді, покладається на сектор з питань цивільного захисту, оборонної та мобілізаційної роботи Новгород-Сіверської міської ради. Методичне керівництво та контроль за створенням, зберіганням, використанням та поповненням місцевого матеріального резерву для запобігання, ліквідації надзвичайних ситуацій та їх наслідків, у тому числі завданих бойовими діями, покладається на заступника міського голови, який координує даний напрямок діяльності.</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Відповідальний виконавець Програми один раз на рік до 01 лютого наступного року готує та подає відділу економіки Новгород-Сіверської міської ради і фінансовому управлінню Новгород-Сіверської міської ради узагальнену інформацію про стан її виконання за встановленою формою (Додаток 5).</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01 березня 2026 року готує та надає міській раді заключний звіт про результати виконання Програми за встановленою формою (Додаток 6).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необхідності внесення змін до Програми, проєкт змін до неї з уточненими показниками і завданнями вноситься на розгляд сесії Новгород-Сіверської міської ради.</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виконанням заходів Програми покладається на постійну комісію міської ради з питань планування, бюджету та комунальної власності.</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Керуючий справами виконавчого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комітету міської ради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ab/>
        <w:tab/>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Поливода</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1134" w:top="1134" w:left="1701" w:right="567" w:header="0" w:footer="3"/>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1</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5)</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46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Номенклатура та обсяги місцевого матеріального резерву для запобігання і ліквідації надзвичайних ситуацій </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 їх наслідків, у тому числі завданих бойовими діями, на території </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Новгород-Сіверської міської територіальної громади</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1474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4251"/>
        <w:gridCol w:w="1561"/>
        <w:gridCol w:w="1419"/>
        <w:gridCol w:w="1422"/>
        <w:gridCol w:w="1563"/>
        <w:gridCol w:w="3968"/>
        <w:tblGridChange w:id="0">
          <w:tblGrid>
            <w:gridCol w:w="558"/>
            <w:gridCol w:w="4251"/>
            <w:gridCol w:w="1561"/>
            <w:gridCol w:w="1419"/>
            <w:gridCol w:w="1422"/>
            <w:gridCol w:w="1563"/>
            <w:gridCol w:w="3968"/>
          </w:tblGrid>
        </w:tblGridChange>
      </w:tblGrid>
      <w:tr>
        <w:trPr>
          <w:cantSplit w:val="1"/>
          <w:trHeight w:val="985"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з/п</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матеріально-технічних</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ресурсів</w:t>
            </w:r>
          </w:p>
        </w:tc>
        <w:tc>
          <w:tcPr>
            <w:gridSpan w:val="4"/>
            <w:tcBorders>
              <w:top w:color="000000" w:space="0" w:sz="4" w:val="single"/>
              <w:left w:color="000000" w:space="0" w:sz="4" w:val="single"/>
              <w:right w:color="000000" w:space="0" w:sz="4" w:val="single"/>
            </w:tcBorders>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Планується</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закупити  </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r>
      <w:tr>
        <w:trPr>
          <w:cantSplit w:val="1"/>
          <w:trHeight w:val="408"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рік</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2023 рік</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2024 рік</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2025 рік</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Будівельні матеріали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Засоби індивідуального захисту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Паливно-мастильні матеріали (бензин, дизельне пальне, мастило)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Продукти харчування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Всього: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780,0</w:t>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2</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5)</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 w:line="240" w:lineRule="auto"/>
        <w:ind w:left="0" w:right="0" w:firstLine="7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НАПРЯМИ ДІЯЛЬНОСТІ І ЗАХОДИ РЕАЛІЗАЦІЇ ПРОГРАМИ</w:t>
      </w:r>
      <w:r w:rsidDel="00000000" w:rsidR="00000000" w:rsidRPr="00000000">
        <w:rPr>
          <w:rtl w:val="0"/>
        </w:rPr>
      </w:r>
    </w:p>
    <w:tbl>
      <w:tblPr>
        <w:tblStyle w:val="Table4"/>
        <w:tblW w:w="15578.0" w:type="dxa"/>
        <w:jc w:val="left"/>
        <w:tblInd w:w="-142.0" w:type="dxa"/>
        <w:tblLayout w:type="fixed"/>
        <w:tblLook w:val="0000"/>
      </w:tblPr>
      <w:tblGrid>
        <w:gridCol w:w="426"/>
        <w:gridCol w:w="1701"/>
        <w:gridCol w:w="1417"/>
        <w:gridCol w:w="142"/>
        <w:gridCol w:w="1134"/>
        <w:gridCol w:w="1181"/>
        <w:gridCol w:w="1210"/>
        <w:gridCol w:w="1295"/>
        <w:gridCol w:w="992"/>
        <w:gridCol w:w="992"/>
        <w:gridCol w:w="992"/>
        <w:gridCol w:w="993"/>
        <w:gridCol w:w="992"/>
        <w:gridCol w:w="2111"/>
        <w:tblGridChange w:id="0">
          <w:tblGrid>
            <w:gridCol w:w="426"/>
            <w:gridCol w:w="1701"/>
            <w:gridCol w:w="1417"/>
            <w:gridCol w:w="142"/>
            <w:gridCol w:w="1134"/>
            <w:gridCol w:w="1181"/>
            <w:gridCol w:w="1210"/>
            <w:gridCol w:w="1295"/>
            <w:gridCol w:w="992"/>
            <w:gridCol w:w="992"/>
            <w:gridCol w:w="992"/>
            <w:gridCol w:w="993"/>
            <w:gridCol w:w="992"/>
            <w:gridCol w:w="2111"/>
          </w:tblGrid>
        </w:tblGridChange>
      </w:tblGrid>
      <w:tr>
        <w:trPr>
          <w:cantSplit w:val="1"/>
          <w:trHeight w:val="278"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highlight w:val="white"/>
                <w:u w:val="none"/>
                <w:vertAlign w:val="baseline"/>
                <w:rtl w:val="0"/>
              </w:rPr>
              <w:t xml:space="preserve">з/іі</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4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Завдання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Зміст заходів</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6" w:right="0" w:firstLine="0"/>
              <w:jc w:val="center"/>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Цільова група (жінки/чоловіки різних груп)</w:t>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Термін виконання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Виконавці</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Джерела фінансування</w:t>
            </w:r>
            <w:r w:rsidDel="00000000" w:rsidR="00000000" w:rsidRPr="00000000">
              <w:rPr>
                <w:rtl w:val="0"/>
              </w:rPr>
            </w:r>
          </w:p>
        </w:tc>
        <w:tc>
          <w:tcPr>
            <w:gridSpan w:val="5"/>
            <w:tcBorders>
              <w:top w:color="000000" w:space="0" w:sz="4" w:val="single"/>
              <w:left w:color="000000" w:space="0" w:sz="4" w:val="single"/>
            </w:tcBorders>
            <w:shd w:fill="ffffff"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Обсяги фінансування по роках, тис. гри.</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Очікуваний результат</w:t>
            </w:r>
            <w:r w:rsidDel="00000000" w:rsidR="00000000" w:rsidRPr="00000000">
              <w:rPr>
                <w:rtl w:val="0"/>
              </w:rPr>
            </w:r>
          </w:p>
        </w:tc>
      </w:tr>
      <w:tr>
        <w:trPr>
          <w:cantSplit w:val="1"/>
          <w:trHeight w:val="57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c>
          <w:tcPr>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hanging="4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hanging="4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Всього</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hanging="4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highlight w:val="white"/>
                <w:u w:val="none"/>
                <w:vertAlign w:val="baseline"/>
                <w:rtl w:val="0"/>
              </w:rPr>
              <w:t xml:space="preserve">Факт</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0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4</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8</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9</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w:t>
            </w:r>
          </w:p>
        </w:tc>
      </w:tr>
      <w:tr>
        <w:trPr>
          <w:cantSplit w:val="0"/>
          <w:trHeight w:val="259" w:hRule="atLeast"/>
          <w:tblHeader w:val="0"/>
        </w:trPr>
        <w:tc>
          <w:tcPr>
            <w:gridSpan w:val="1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Завдання</w:t>
            </w:r>
            <w:r w:rsidDel="00000000" w:rsidR="00000000" w:rsidRPr="00000000">
              <w:rPr>
                <w:rtl w:val="0"/>
              </w:rPr>
            </w:r>
          </w:p>
        </w:tc>
      </w:tr>
      <w:tr>
        <w:trPr>
          <w:cantSplit w:val="0"/>
          <w:trHeight w:val="4942"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0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облік, використання,  поповнення матеріально-</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1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 резерву для запобігання і ліквідацію НС та їх наслідків, у тому числі завданих бойовими діями, на території МТГ</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Закупівля матеріальних цінностей, необхідних для запобігання, ліквідації НС.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2022-2025 роки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Новгород-Сіверська міська рада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Новгород-Сіверської міської  територіальної громади (інші не загорненні джерела)</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105,0</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780,0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w:t>
            </w:r>
            <w:r w:rsidDel="00000000" w:rsidR="00000000" w:rsidRPr="00000000">
              <w:rPr>
                <w:rtl w:val="0"/>
              </w:rPr>
            </w:r>
          </w:p>
        </w:tc>
      </w:tr>
      <w:tr>
        <w:trPr>
          <w:cantSplit w:val="0"/>
          <w:trHeight w:val="4772"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0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зберігання матеріального резерву</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послуг зі зберігання матеріального резерву (оренда приміщень тощо)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Новгород-Сіверська міська рада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Новгород-Сіверської міської  територіальної громади</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розміщення та забезпечення належного зберігання матеріальних цінностей матеріального резерву. </w:t>
            </w:r>
          </w:p>
        </w:tc>
      </w:tr>
    </w:tbl>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tab/>
        <w:tab/>
        <w:tab/>
        <w:tab/>
        <w:tab/>
        <w:tab/>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3</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5)</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ПОКАЗНИКИ РЕЗУЛЬТАТИВНОСТІ ПРОГРАМИ</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14752.0" w:type="dxa"/>
        <w:jc w:val="left"/>
        <w:tblInd w:w="-10.0" w:type="dxa"/>
        <w:tblLayout w:type="fixed"/>
        <w:tblLook w:val="0000"/>
      </w:tblPr>
      <w:tblGrid>
        <w:gridCol w:w="613"/>
        <w:gridCol w:w="4359"/>
        <w:gridCol w:w="1417"/>
        <w:gridCol w:w="2410"/>
        <w:gridCol w:w="1417"/>
        <w:gridCol w:w="1560"/>
        <w:gridCol w:w="1559"/>
        <w:gridCol w:w="1417"/>
        <w:tblGridChange w:id="0">
          <w:tblGrid>
            <w:gridCol w:w="613"/>
            <w:gridCol w:w="4359"/>
            <w:gridCol w:w="1417"/>
            <w:gridCol w:w="2410"/>
            <w:gridCol w:w="1417"/>
            <w:gridCol w:w="1560"/>
            <w:gridCol w:w="1559"/>
            <w:gridCol w:w="1417"/>
          </w:tblGrid>
        </w:tblGridChange>
      </w:tblGrid>
      <w:tr>
        <w:trPr>
          <w:cantSplit w:val="0"/>
          <w:trHeight w:val="704"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9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60" w:right="9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з/п</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Назва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Одиниця виміру</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Вихідні дані на початок дії програми.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60" w:right="91" w:hanging="4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2022 рік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60" w:right="91" w:hanging="4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2023 рік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2024 рік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2025 рік</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9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5</w:t>
            </w: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8</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shd w:fill="ffffff"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326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І. Показники затрат</w:t>
            </w:r>
            <w:r w:rsidDel="00000000" w:rsidR="00000000" w:rsidRPr="00000000">
              <w:rPr>
                <w:rtl w:val="0"/>
              </w:rPr>
            </w:r>
          </w:p>
        </w:tc>
        <w:tc>
          <w:tcPr>
            <w:tcBorders>
              <w:top w:color="000000" w:space="0" w:sz="4" w:val="single"/>
              <w:right w:color="000000" w:space="0" w:sz="4" w:val="single"/>
            </w:tcBorders>
            <w:shd w:fill="ffffff" w:val="clea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91"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Обсяг видатків на виконання заходів</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грн.</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370 000,0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90 000,0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105 000,0</w:t>
            </w:r>
          </w:p>
        </w:tc>
      </w:tr>
      <w:tr>
        <w:trPr>
          <w:cantSplit w:val="0"/>
          <w:trHeight w:val="2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shd w:fill="ffffff" w:val="cle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306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 Показники продукту</w:t>
            </w:r>
            <w:r w:rsidDel="00000000" w:rsidR="00000000" w:rsidRPr="00000000">
              <w:rPr>
                <w:rtl w:val="0"/>
              </w:rPr>
            </w:r>
          </w:p>
        </w:tc>
        <w:tc>
          <w:tcPr>
            <w:tcBorders>
              <w:top w:color="000000" w:space="0" w:sz="4" w:val="single"/>
              <w:right w:color="000000" w:space="0" w:sz="4" w:val="single"/>
            </w:tcBorders>
            <w:shd w:fill="ffffff" w:val="clea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засідань комісії ТЕБ та НС</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r>
        <w:trPr>
          <w:cantSplit w:val="0"/>
          <w:trHeight w:val="288" w:hRule="atLeast"/>
          <w:tblHeader w:val="0"/>
        </w:trPr>
        <w:tc>
          <w:tcPr>
            <w:gridSpan w:val="8"/>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ІІІ. Показники ефективності</w:t>
            </w:r>
          </w:p>
        </w:tc>
      </w:tr>
      <w:tr>
        <w:trPr>
          <w:cantSplit w:val="0"/>
          <w:trHeight w:val="56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6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Середня вартість проведеного заходу з попередження НС та ліквідації їх наслідків</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грн.</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2 800,0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3 600,0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4 200,0</w:t>
            </w:r>
          </w:p>
        </w:tc>
      </w:tr>
      <w:tr>
        <w:trPr>
          <w:cantSplit w:val="0"/>
          <w:trHeight w:val="28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shd w:fill="ffffff" w:val="cle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320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 Показники якості</w:t>
            </w:r>
            <w:r w:rsidDel="00000000" w:rsidR="00000000" w:rsidRPr="00000000">
              <w:rPr>
                <w:rtl w:val="0"/>
              </w:rPr>
            </w:r>
          </w:p>
        </w:tc>
        <w:tc>
          <w:tcPr>
            <w:tcBorders>
              <w:top w:color="000000" w:space="0" w:sz="4" w:val="single"/>
              <w:right w:color="000000" w:space="0" w:sz="4" w:val="single"/>
            </w:tcBorders>
            <w:shd w:fill="ffffff" w:val="clea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Відсоток виконаних завдань</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0" w:w="16840" w:orient="landscape"/>
          <w:pgMar w:bottom="522" w:top="709" w:left="1134" w:right="1276" w:header="0" w:footer="3"/>
        </w:sect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4</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467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6)</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створення, утримання та поповнення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Порядок визначає основні принципи створення, утримання та поповнення місцевого матеріального резерву Новгород-Сіверської міської  територіальної громади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запобігання і ліквідації надзвичайних ситуацій та їх наслідків, у тому числі завданих бойовими діями.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044"/>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Матеріальний резерв, це запас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044"/>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Матеріальний резерв створюється Новгород-Сіверською міською радою для виконання заходів, спрямованих на запобігання, ліквідацію надзвичайних ситуацій та їх наслідків, у тому числі завданих бойовими діями, на території Новгород-Сіверської міської територіальної громади.</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Матеріальний резерв створюється заздалегідь з урахуванням прогнозованих для населених пунктів міської територіальної громади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Матеріальний резерв використовуються виключно для:</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здійснення запобіжних заходів у разі загрози виникнення надзвичайних ситуацій;</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ліквідації наслідків надзвичайних ситуацій;</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проведення невідкладних відновлювальних робіт і заходів;</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постраждалому населенню необхідної допомоги для забезпечення його життєдіяльності;</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розгортання та утримання тимчасових пунктів проживання і харчування постраждалого населення;</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паливно-мастильними та іншими витратними матеріалами транспортних засобів підприємств та громадян, залучених до запобіжних заходів у разі загрози виникнення або ліквідації надзвичайних ситуацій та евакуації населення із зони надзвичайної ситуації та можливого ураження.</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Номенклатура, обсяги та місця зберігання матеріального резерву визначаються згідно Програми.</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Матеріально-технічні цінності зараховані до матеріального резерву    розміщуються в складах суб’єктів господарювання призначених або пристосованих для їх зберігання, згідно з укладеними договорами, з урахуванням оперативної доставки таких резервів до можливих зон надзвичайних ситуацій.</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Місця розміщення матеріального резерву визначаються розпорядженням міського голови та на основі укладених договорів. У місцях зберігання повинно бути забезпечено збереження матеріальних цінностей за кількістю і якістю згідно з чинними нормативними документами.</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Створення, утримання та поповнення матеріального резерву здійснюється за рахунок коштів бюджету Новгород-Сіверської міської  територіальної громади за встановленими нормами та може здійснюватися також за рахунок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Створення та накопичення матеріального резерву здійснюється відповідно до річних графіків та за встановленими нормами.</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24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Облік, інвентаризація та перевірка умов зберігання матеріального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резерву здійснюється згідно нормативно-правових актів.</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24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Матеріальні цінності, що поставляються до матеріального резерву, повинні мати сертифікат відповідності на весь нормативний термін їх зберігання.</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Придбання матеріальних цінностей, що поставляються до місцевого резерву, здійснюється шляхом купівлі у відповідних підприємств, установ та організацій відповідно до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Закону України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публічні закупівлі».</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Відпуск матеріальних цінностей з матеріального резерву для запобігання і ліквідації наслідків надзвичайних ситуацій здійснюється за  рішенням міської комісії з питань техногенно-екологічної безпеки та надзвичайних ситуацій з подальшим погодженням виконавчим комітетом міської ради.</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Відпуск матеріальних цінностей з матеріального резерву, що підлягає освіженню (поновленню), здійснюється за рішенням виконавчого комітету міської ради на конкурсних засадах. Кошти, отримані внаслідок реалізації матеріальних цінностей, спрямовуються на придбання і закладення до матеріального резерву аналогічних матеріальних цінностей.</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Відповідальність за створення та використання матеріального резерву, здійснення контролю за їх наявністю несуть посадові особи Новгород-Сіверської міської ради відповідно до чинного законодавства.</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5</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9)</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ЗВІТ</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результати виконання </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249" w:before="0" w:line="240" w:lineRule="auto"/>
        <w:ind w:left="0" w:right="24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249" w:before="0" w:line="240" w:lineRule="auto"/>
        <w:ind w:left="0" w:right="24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місцевої програми у звітному періоді</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і номер рішення міської</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 яким затверджено Програму та зміни до неї</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Відповідальний виконавець Програми</w:t>
        <w:tab/>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Термін реалізації Програми</w:t>
        <w:tab/>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Виконання заходів Програми</w:t>
      </w:r>
    </w:p>
    <w:tbl>
      <w:tblPr>
        <w:tblStyle w:val="Table6"/>
        <w:tblW w:w="9693.0" w:type="dxa"/>
        <w:jc w:val="center"/>
        <w:tblLayout w:type="fixed"/>
        <w:tblLook w:val="0000"/>
      </w:tblPr>
      <w:tblGrid>
        <w:gridCol w:w="533"/>
        <w:gridCol w:w="1162"/>
        <w:gridCol w:w="720"/>
        <w:gridCol w:w="1061"/>
        <w:gridCol w:w="1008"/>
        <w:gridCol w:w="1387"/>
        <w:gridCol w:w="1522"/>
        <w:gridCol w:w="1066"/>
        <w:gridCol w:w="1234"/>
        <w:tblGridChange w:id="0">
          <w:tblGrid>
            <w:gridCol w:w="533"/>
            <w:gridCol w:w="1162"/>
            <w:gridCol w:w="720"/>
            <w:gridCol w:w="1061"/>
            <w:gridCol w:w="1008"/>
            <w:gridCol w:w="1387"/>
            <w:gridCol w:w="1522"/>
            <w:gridCol w:w="1066"/>
            <w:gridCol w:w="1234"/>
          </w:tblGrid>
        </w:tblGridChange>
      </w:tblGrid>
      <w:tr>
        <w:trPr>
          <w:cantSplit w:val="0"/>
          <w:trHeight w:val="140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0" w:line="240" w:lineRule="auto"/>
              <w:ind w:left="1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Пріоритетні завданий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Зміст заходів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2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Термін виконання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Виконавці</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Річний обсяг фінансування, тис. грн.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Фактично профінансовано у звітному періоді, тис. грн.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Відсоток виконання заходу, %</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Інформація про виконання або причини невиконання заходу</w:t>
            </w: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Виконання результативних показників Програми (заповнюється при підготовці річного звіту про виконання програми)</w:t>
      </w:r>
    </w:p>
    <w:tbl>
      <w:tblPr>
        <w:tblStyle w:val="Table7"/>
        <w:tblW w:w="9697.0" w:type="dxa"/>
        <w:jc w:val="center"/>
        <w:tblLayout w:type="fixed"/>
        <w:tblLook w:val="0000"/>
      </w:tblPr>
      <w:tblGrid>
        <w:gridCol w:w="552"/>
        <w:gridCol w:w="2866"/>
        <w:gridCol w:w="1536"/>
        <w:gridCol w:w="1546"/>
        <w:gridCol w:w="1627"/>
        <w:gridCol w:w="1570"/>
        <w:tblGridChange w:id="0">
          <w:tblGrid>
            <w:gridCol w:w="552"/>
            <w:gridCol w:w="2866"/>
            <w:gridCol w:w="1536"/>
            <w:gridCol w:w="1546"/>
            <w:gridCol w:w="1627"/>
            <w:gridCol w:w="1570"/>
          </w:tblGrid>
        </w:tblGridChange>
      </w:tblGrid>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0" w:line="240" w:lineRule="auto"/>
              <w:ind w:left="1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Найменування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Планове значення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Фактичне значення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Причини невиконання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Що зроблено для виправлення ситуації</w:t>
            </w:r>
            <w:r w:rsidDel="00000000" w:rsidR="00000000" w:rsidRPr="00000000">
              <w:rPr>
                <w:rtl w:val="0"/>
              </w:rPr>
            </w:r>
          </w:p>
        </w:tc>
      </w:tr>
      <w:tr>
        <w:trPr>
          <w:cantSplit w:val="0"/>
          <w:trHeight w:val="341"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60" w:before="30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Оцінка ефективності виконання програми та пропозиції щодо подальшої реалізації програми (здійснюється при підготовці річного звіту).</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6</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9)</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ЗАКЛЮЧНИЙ ЗВІТ </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результати виконання</w:t>
      </w: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w:t>
        <w:br w:type="textWrapping"/>
        <w:t xml:space="preserve">назва місцевої програми</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4"/>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дані.</w:t>
      </w:r>
    </w:p>
    <w:p w:rsidR="00000000" w:rsidDel="00000000" w:rsidP="00000000" w:rsidRDefault="00000000" w:rsidRPr="00000000" w14:paraId="000002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4"/>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Зазначаються дата прийняття та номер рішення міської</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000000" w:rsidDel="00000000" w:rsidP="00000000" w:rsidRDefault="00000000" w:rsidRPr="00000000" w14:paraId="000002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4"/>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програми та результати її досягнення.</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000000" w:rsidDel="00000000" w:rsidP="00000000" w:rsidRDefault="00000000" w:rsidRPr="00000000" w14:paraId="000002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2"/>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Фінансування.</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000000" w:rsidDel="00000000" w:rsidP="00000000" w:rsidRDefault="00000000" w:rsidRPr="00000000" w14:paraId="000002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2"/>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заходів програми.</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000000" w:rsidDel="00000000" w:rsidP="00000000" w:rsidRDefault="00000000" w:rsidRPr="00000000" w14:paraId="000002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2"/>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Оцінка ефективності виконання програми.</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кількісних та якісних показників, що досягнуті в результаті виконання програми, дається оцінка ефективності її виконання.</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(посада керівника органу) </w:t>
        <w:tab/>
        <w:tab/>
        <w:tab/>
        <w:t xml:space="preserve">(підпис)</w:t>
        <w:tab/>
        <w:tab/>
        <w:tab/>
        <w:t xml:space="preserve">(ініціали та прізвище)</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type w:val="nextPage"/>
      <w:pgSz w:h="16840" w:w="11900" w:orient="portrait"/>
      <w:pgMar w:bottom="1134" w:top="1134" w:left="1701" w:right="56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8"/>
        <w:szCs w:val="28"/>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